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 am writing to request approval and financial support to attend the 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2025 SIOP® Virtual Conference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July 8–10, 2025. This conference focuses on effective teaching strategies that engage all students in meaningful content learning while accelerating their academic language development. The SIOP® (Sheltered Instruction Observation Protocol) Model is a research-based instructional framework proven to produce statistically significant academic and language growth. SIOP® is beneficial for all students, but especially vital for English learners. </w:t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0"/>
        <w:rPr>
          <w:rFonts w:ascii="Arial" w:cs="Arial" w:eastAsia="Arial" w:hAnsi="Arial"/>
          <w:b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Attending this conference will allow me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0"/>
        <w:rPr>
          <w:rFonts w:ascii="Arial" w:cs="Arial" w:eastAsia="Arial" w:hAnsi="Arial"/>
          <w:b w:val="1"/>
          <w:color w:val="222222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left="720" w:firstLine="0"/>
        <w:rPr>
          <w:rFonts w:ascii="Arial" w:cs="Arial" w:eastAsia="Arial" w:hAnsi="Arial"/>
          <w:color w:val="222222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highlight w:val="white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Gain research-based strategies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from leading experts to better support students.</w:t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>
          <w:rFonts w:ascii="Arial" w:cs="Arial" w:eastAsia="Arial" w:hAnsi="Arial"/>
          <w:color w:val="222222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highlight w:val="white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Improve instructional practices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222222"/>
              <w:highlight w:val="white"/>
              <w:rtl w:val="0"/>
            </w:rPr>
            <w:t xml:space="preserve"> that align with our school's/district’s goals for student achievement.</w:t>
            <w:br w:type="textWrapping"/>
            <w:t xml:space="preserve">✔ </w:t>
          </w:r>
        </w:sdtContent>
      </w:sdt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Bring back practical tools and resources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to share with my colleagues, amplifying the impact of this professional learning.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registration fee is $280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, which includes access to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live sessions as well as recordings available for 90 days. This flexibility will allow me to revisit key sessions and integrate best practices into my instruction over time.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 am eager to apply what I learn to support our students’ academic success and to share these strategies with my colleagues. I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greatly appreciate your consideration of this request and would be grateful for the opportunity to participate.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For more details about the conference, you can visit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highlight w:val="white"/>
            <w:u w:val="single"/>
            <w:rtl w:val="0"/>
          </w:rPr>
          <w:t xml:space="preserve">Savvas.com/SIOP2025</w:t>
        </w:r>
      </w:hyperlink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. Please let me know if you need any additional information.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Thank you for your time and support.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Sincerely,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vvas.com/SIOP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ZGCsJXejm352xIQj42h1jtTnQ==">CgMxLjAaJAoBMBIfCh0IB0IZCgVBcmlhbBIQQXJpYWwgVW5pY29kZSBNUxokCgExEh8KHQgHQhkKBUFyaWFsEhBBcmlhbCBVbmljb2RlIE1TGiQKATISHwodCAdCGQoFQXJpYWwSEEFyaWFsIFVuaWNvZGUgTVM4AHIhMTNXMm5OMnkxRGk3dUZQZGJFc0xjbWJhNnJDOElFYWpa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